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5"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1417"/>
        <w:gridCol w:w="2437"/>
        <w:gridCol w:w="5797"/>
        <w:gridCol w:w="3193"/>
        <w:gridCol w:w="178"/>
        <w:gridCol w:w="195"/>
      </w:tblGrid>
      <w:tr>
        <w:trPr>
          <w:trHeight w:val="340" w:hRule="atLeast"/>
        </w:trPr>
        <w:tc>
          <w:tcPr>
            <w:tcW w:w="1417" w:type="dxa"/>
          </w:tcPr>
          <w:p>
            <w:pPr>
              <w:pStyle w:val="EmptyCellLayoutStyle"/>
              <w:spacing w:after="0" w:line="240" w:lineRule="auto"/>
            </w:pPr>
          </w:p>
        </w:tc>
        <w:tc>
          <w:tcPr>
            <w:tcW w:w="2437" w:type="dxa"/>
          </w:tcPr>
          <w:p>
            <w:pPr>
              <w:pStyle w:val="EmptyCellLayoutStyle"/>
              <w:spacing w:after="0" w:line="240" w:lineRule="auto"/>
            </w:pPr>
          </w:p>
        </w:tc>
        <w:tc>
          <w:tcPr>
            <w:tcW w:w="5797" w:type="dxa"/>
          </w:tcPr>
          <w:tbl>
            <w:tblPr>
              <w:tblCellMar>
                <w:top w:w="0" w:type="dxa"/>
                <w:left w:w="0" w:type="dxa"/>
                <w:bottom w:w="0" w:type="dxa"/>
                <w:right w:w="0" w:type="dxa"/>
              </w:tblCellMar>
            </w:tblPr>
            <w:tblGrid>
              <w:gridCol w:w="5797"/>
            </w:tblGrid>
            <w:tr>
              <w:trPr>
                <w:trHeight w:val="262" w:hRule="atLeast"/>
              </w:trPr>
              <w:tc>
                <w:tcPr>
                  <w:tcW w:w="579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24"/>
                    </w:rPr>
                    <w:t xml:space="preserve">INDICADORES ESTRATÉGICOS DE DESEMPEÑO AÑO 2026</w:t>
                  </w:r>
                  <w:r>
                    <w:rPr>
                      <w:rFonts w:ascii="Times New Roman" w:hAnsi="Times New Roman" w:eastAsia="Times New Roman"/>
                      <w:color w:val="000000"/>
                      <w:sz w:val="24"/>
                    </w:rPr>
                    <w:br/>
                    <w:t xml:space="preserve">VERSIÓN LEY DE PRESUPUESTOS 2026</w:t>
                  </w:r>
                </w:p>
              </w:tc>
            </w:tr>
          </w:tbl>
          <w:p>
            <w:pPr>
              <w:spacing w:after="0" w:line="240" w:lineRule="auto"/>
            </w:pPr>
          </w:p>
        </w:tc>
        <w:tc>
          <w:tcPr>
            <w:tcW w:w="3193" w:type="dxa"/>
          </w:tcPr>
          <w:p>
            <w:pPr>
              <w:pStyle w:val="EmptyCellLayoutStyle"/>
              <w:spacing w:after="0" w:line="240" w:lineRule="auto"/>
            </w:pPr>
          </w:p>
        </w:tc>
        <w:tc>
          <w:tcPr>
            <w:tcW w:w="178" w:type="dxa"/>
          </w:tcPr>
          <w:p>
            <w:pPr>
              <w:pStyle w:val="EmptyCellLayoutStyle"/>
              <w:spacing w:after="0" w:line="240" w:lineRule="auto"/>
            </w:pPr>
          </w:p>
        </w:tc>
        <w:tc>
          <w:tcPr>
            <w:tcW w:w="195" w:type="dxa"/>
          </w:tcPr>
          <w:p>
            <w:pPr>
              <w:pStyle w:val="EmptyCellLayoutStyle"/>
              <w:spacing w:after="0" w:line="240" w:lineRule="auto"/>
            </w:pPr>
          </w:p>
        </w:tc>
      </w:tr>
      <w:tr>
        <w:trPr>
          <w:trHeight w:val="363" w:hRule="atLeast"/>
        </w:trPr>
        <w:tc>
          <w:tcPr>
            <w:tcW w:w="1417" w:type="dxa"/>
          </w:tcPr>
          <w:p>
            <w:pPr>
              <w:pStyle w:val="EmptyCellLayoutStyle"/>
              <w:spacing w:after="0" w:line="240" w:lineRule="auto"/>
            </w:pPr>
          </w:p>
        </w:tc>
        <w:tc>
          <w:tcPr>
            <w:tcW w:w="2437" w:type="dxa"/>
          </w:tcPr>
          <w:p>
            <w:pPr>
              <w:pStyle w:val="EmptyCellLayoutStyle"/>
              <w:spacing w:after="0" w:line="240" w:lineRule="auto"/>
            </w:pPr>
          </w:p>
        </w:tc>
        <w:tc>
          <w:tcPr>
            <w:tcW w:w="5797" w:type="dxa"/>
          </w:tcPr>
          <w:p>
            <w:pPr>
              <w:pStyle w:val="EmptyCellLayoutStyle"/>
              <w:spacing w:after="0" w:line="240" w:lineRule="auto"/>
            </w:pPr>
          </w:p>
        </w:tc>
        <w:tc>
          <w:tcPr>
            <w:tcW w:w="3193" w:type="dxa"/>
          </w:tcPr>
          <w:p>
            <w:pPr>
              <w:pStyle w:val="EmptyCellLayoutStyle"/>
              <w:spacing w:after="0" w:line="240" w:lineRule="auto"/>
            </w:pPr>
          </w:p>
        </w:tc>
        <w:tc>
          <w:tcPr>
            <w:tcW w:w="178" w:type="dxa"/>
          </w:tcPr>
          <w:p>
            <w:pPr>
              <w:pStyle w:val="EmptyCellLayoutStyle"/>
              <w:spacing w:after="0" w:line="240" w:lineRule="auto"/>
            </w:pPr>
          </w:p>
        </w:tc>
        <w:tc>
          <w:tcPr>
            <w:tcW w:w="195" w:type="dxa"/>
          </w:tcPr>
          <w:p>
            <w:pPr>
              <w:pStyle w:val="EmptyCellLayoutStyle"/>
              <w:spacing w:after="0" w:line="240" w:lineRule="auto"/>
            </w:pPr>
          </w:p>
        </w:tc>
      </w:tr>
      <w:tr>
        <w:trPr/>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2109"/>
              <w:gridCol w:w="7542"/>
              <w:gridCol w:w="1417"/>
              <w:gridCol w:w="1776"/>
            </w:tblGrid>
            <w:tr>
              <w:trPr>
                <w:trHeight w:val="262" w:hRule="atLeast"/>
              </w:trPr>
              <w:tc>
                <w:tcPr>
                  <w:tcW w:w="2109" w:type="dxa"/>
                  <w:tcBorders>
                    <w:top w:val="single" w:color="000000" w:sz="7"/>
                    <w:left w:val="single" w:color="000000" w:sz="7"/>
                    <w:bottom w:val="single" w:color="000000" w:sz="7"/>
                    <w:right w:val="single" w:color="000000" w:sz="7"/>
                  </w:tcBorders>
                  <w:shd w:val="clear" w:fill="D3D3D3"/>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20"/>
                    </w:rPr>
                    <w:t xml:space="preserve">MINISTERIO</w:t>
                  </w:r>
                </w:p>
              </w:tc>
              <w:tc>
                <w:tcPr>
                  <w:tcW w:w="754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20"/>
                    </w:rPr>
                    <w:t xml:space="preserve">MINISTERIO SECRETARIA GENERAL DE LA PRESIDENCIA                                 </w:t>
                  </w:r>
                </w:p>
              </w:tc>
              <w:tc>
                <w:tcPr>
                  <w:tcW w:w="1417" w:type="dxa"/>
                  <w:tcBorders>
                    <w:top w:val="single" w:color="000000" w:sz="7"/>
                    <w:left w:val="single" w:color="000000" w:sz="7"/>
                    <w:bottom w:val="single" w:color="000000" w:sz="7"/>
                    <w:right w:val="single" w:color="000000" w:sz="7"/>
                  </w:tcBorders>
                  <w:shd w:val="clear" w:fill="D3D3D3"/>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20"/>
                    </w:rPr>
                    <w:t xml:space="preserve">PARTIDA</w:t>
                  </w:r>
                </w:p>
              </w:tc>
              <w:tc>
                <w:tcPr>
                  <w:tcW w:w="177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20"/>
                    </w:rPr>
                    <w:t xml:space="preserve">22</w:t>
                  </w:r>
                </w:p>
              </w:tc>
            </w:tr>
          </w:tbl>
          <w:p>
            <w:pPr>
              <w:spacing w:after="0" w:line="240" w:lineRule="auto"/>
            </w:pPr>
          </w:p>
        </w:tc>
        <w:tc>
          <w:tcPr>
            <w:tcW w:w="2437" w:type="dxa"/>
            <w:hMerge w:val="continue"/>
          </w:tcPr>
          <w:p>
            <w:pPr>
              <w:pStyle w:val="EmptyCellLayoutStyle"/>
              <w:spacing w:after="0" w:line="240" w:lineRule="auto"/>
            </w:pPr>
          </w:p>
        </w:tc>
        <w:tc>
          <w:tcPr>
            <w:tcW w:w="5797" w:type="dxa"/>
            <w:hMerge w:val="continue"/>
          </w:tcPr>
          <w:p>
            <w:pPr>
              <w:pStyle w:val="EmptyCellLayoutStyle"/>
              <w:spacing w:after="0" w:line="240" w:lineRule="auto"/>
            </w:pPr>
          </w:p>
        </w:tc>
        <w:tc>
          <w:tcPr>
            <w:tcW w:w="3193" w:type="dxa"/>
            <w:hMerge w:val="continue"/>
          </w:tcPr>
          <w:p>
            <w:pPr>
              <w:pStyle w:val="EmptyCellLayoutStyle"/>
              <w:spacing w:after="0" w:line="240" w:lineRule="auto"/>
            </w:pPr>
          </w:p>
        </w:tc>
        <w:tc>
          <w:tcPr>
            <w:tcW w:w="178" w:type="dxa"/>
          </w:tcPr>
          <w:p>
            <w:pPr>
              <w:pStyle w:val="EmptyCellLayoutStyle"/>
              <w:spacing w:after="0" w:line="240" w:lineRule="auto"/>
            </w:pPr>
          </w:p>
        </w:tc>
        <w:tc>
          <w:tcPr>
            <w:tcW w:w="195" w:type="dxa"/>
          </w:tcPr>
          <w:p>
            <w:pPr>
              <w:pStyle w:val="EmptyCellLayoutStyle"/>
              <w:spacing w:after="0" w:line="240" w:lineRule="auto"/>
            </w:pPr>
          </w:p>
        </w:tc>
      </w:tr>
      <w:tr>
        <w:trPr/>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2109"/>
              <w:gridCol w:w="7542"/>
              <w:gridCol w:w="1417"/>
              <w:gridCol w:w="1776"/>
            </w:tblGrid>
            <w:tr>
              <w:trPr>
                <w:trHeight w:val="262" w:hRule="atLeast"/>
              </w:trPr>
              <w:tc>
                <w:tcPr>
                  <w:tcW w:w="2109" w:type="dxa"/>
                  <w:tcBorders>
                    <w:top w:val="single" w:color="000000" w:sz="7"/>
                    <w:left w:val="single" w:color="000000" w:sz="7"/>
                    <w:bottom w:val="single" w:color="000000" w:sz="7"/>
                    <w:right w:val="single" w:color="000000" w:sz="7"/>
                  </w:tcBorders>
                  <w:shd w:val="clear" w:fill="D3D3D3"/>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20"/>
                    </w:rPr>
                    <w:t xml:space="preserve">SERVICIO</w:t>
                  </w:r>
                </w:p>
              </w:tc>
              <w:tc>
                <w:tcPr>
                  <w:tcW w:w="754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20"/>
                    </w:rPr>
                    <w:t xml:space="preserve">SECRETARIA GENERAL DE LA PRESIDENCIA DE LA REPUBLICA</w:t>
                  </w:r>
                </w:p>
              </w:tc>
              <w:tc>
                <w:tcPr>
                  <w:tcW w:w="1417" w:type="dxa"/>
                  <w:tcBorders>
                    <w:top w:val="single" w:color="000000" w:sz="7"/>
                    <w:left w:val="single" w:color="000000" w:sz="7"/>
                    <w:bottom w:val="single" w:color="000000" w:sz="7"/>
                    <w:right w:val="single" w:color="000000" w:sz="7"/>
                  </w:tcBorders>
                  <w:shd w:val="clear" w:fill="D3D3D3"/>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20"/>
                    </w:rPr>
                    <w:t xml:space="preserve">CAPÍTULO</w:t>
                  </w:r>
                </w:p>
              </w:tc>
              <w:tc>
                <w:tcPr>
                  <w:tcW w:w="177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20"/>
                    </w:rPr>
                    <w:t xml:space="preserve">01</w:t>
                  </w:r>
                </w:p>
              </w:tc>
            </w:tr>
          </w:tbl>
          <w:p>
            <w:pPr>
              <w:spacing w:after="0" w:line="240" w:lineRule="auto"/>
            </w:pPr>
          </w:p>
        </w:tc>
        <w:tc>
          <w:tcPr>
            <w:tcW w:w="2437" w:type="dxa"/>
            <w:hMerge w:val="continue"/>
          </w:tcPr>
          <w:p>
            <w:pPr>
              <w:pStyle w:val="EmptyCellLayoutStyle"/>
              <w:spacing w:after="0" w:line="240" w:lineRule="auto"/>
            </w:pPr>
          </w:p>
        </w:tc>
        <w:tc>
          <w:tcPr>
            <w:tcW w:w="5797" w:type="dxa"/>
            <w:hMerge w:val="continue"/>
          </w:tcPr>
          <w:p>
            <w:pPr>
              <w:pStyle w:val="EmptyCellLayoutStyle"/>
              <w:spacing w:after="0" w:line="240" w:lineRule="auto"/>
            </w:pPr>
          </w:p>
        </w:tc>
        <w:tc>
          <w:tcPr>
            <w:tcW w:w="3193" w:type="dxa"/>
            <w:hMerge w:val="continue"/>
          </w:tcPr>
          <w:p>
            <w:pPr>
              <w:pStyle w:val="EmptyCellLayoutStyle"/>
              <w:spacing w:after="0" w:line="240" w:lineRule="auto"/>
            </w:pPr>
          </w:p>
        </w:tc>
        <w:tc>
          <w:tcPr>
            <w:tcW w:w="178" w:type="dxa"/>
          </w:tcPr>
          <w:p>
            <w:pPr>
              <w:pStyle w:val="EmptyCellLayoutStyle"/>
              <w:spacing w:after="0" w:line="240" w:lineRule="auto"/>
            </w:pPr>
          </w:p>
        </w:tc>
        <w:tc>
          <w:tcPr>
            <w:tcW w:w="195" w:type="dxa"/>
          </w:tcPr>
          <w:p>
            <w:pPr>
              <w:pStyle w:val="EmptyCellLayoutStyle"/>
              <w:spacing w:after="0" w:line="240" w:lineRule="auto"/>
            </w:pPr>
          </w:p>
        </w:tc>
      </w:tr>
      <w:tr>
        <w:trPr>
          <w:trHeight w:val="354" w:hRule="atLeast"/>
        </w:trPr>
        <w:tc>
          <w:tcPr>
            <w:tcW w:w="1417" w:type="dxa"/>
          </w:tcPr>
          <w:p>
            <w:pPr>
              <w:pStyle w:val="EmptyCellLayoutStyle"/>
              <w:spacing w:after="0" w:line="240" w:lineRule="auto"/>
            </w:pPr>
          </w:p>
        </w:tc>
        <w:tc>
          <w:tcPr>
            <w:tcW w:w="2437" w:type="dxa"/>
          </w:tcPr>
          <w:p>
            <w:pPr>
              <w:pStyle w:val="EmptyCellLayoutStyle"/>
              <w:spacing w:after="0" w:line="240" w:lineRule="auto"/>
            </w:pPr>
          </w:p>
        </w:tc>
        <w:tc>
          <w:tcPr>
            <w:tcW w:w="5797" w:type="dxa"/>
          </w:tcPr>
          <w:p>
            <w:pPr>
              <w:pStyle w:val="EmptyCellLayoutStyle"/>
              <w:spacing w:after="0" w:line="240" w:lineRule="auto"/>
            </w:pPr>
          </w:p>
        </w:tc>
        <w:tc>
          <w:tcPr>
            <w:tcW w:w="3193" w:type="dxa"/>
          </w:tcPr>
          <w:p>
            <w:pPr>
              <w:pStyle w:val="EmptyCellLayoutStyle"/>
              <w:spacing w:after="0" w:line="240" w:lineRule="auto"/>
            </w:pPr>
          </w:p>
        </w:tc>
        <w:tc>
          <w:tcPr>
            <w:tcW w:w="178" w:type="dxa"/>
          </w:tcPr>
          <w:p>
            <w:pPr>
              <w:pStyle w:val="EmptyCellLayoutStyle"/>
              <w:spacing w:after="0" w:line="240" w:lineRule="auto"/>
            </w:pPr>
          </w:p>
        </w:tc>
        <w:tc>
          <w:tcPr>
            <w:tcW w:w="195" w:type="dxa"/>
          </w:tcPr>
          <w:p>
            <w:pPr>
              <w:pStyle w:val="EmptyCellLayoutStyle"/>
              <w:spacing w:after="0" w:line="240" w:lineRule="auto"/>
            </w:pPr>
          </w:p>
        </w:tc>
      </w:tr>
      <w:tr>
        <w:trPr/>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1222"/>
              <w:gridCol w:w="1417"/>
              <w:gridCol w:w="2168"/>
              <w:gridCol w:w="1133"/>
              <w:gridCol w:w="1247"/>
              <w:gridCol w:w="1247"/>
              <w:gridCol w:w="1247"/>
              <w:gridCol w:w="1247"/>
              <w:gridCol w:w="1450"/>
              <w:gridCol w:w="642"/>
            </w:tblGrid>
            <w:tr>
              <w:trPr>
                <w:trHeight w:val="1312" w:hRule="atLeast"/>
              </w:trPr>
              <w:tc>
                <w:tcPr>
                  <w:tcW w:w="1222" w:type="dxa"/>
                  <w:tcBorders>
                    <w:top w:val="single" w:color="000000" w:sz="7"/>
                    <w:left w:val="single" w:color="000000" w:sz="7"/>
                    <w:bottom w:val="single" w:color="000000" w:sz="7"/>
                    <w:right w:val="single" w:color="000000" w:sz="7"/>
                  </w:tcBorders>
                  <w:shd w:val="clear" w:fill="D3D3D3"/>
                  <w:tcMar>
                    <w:top w:w="39" w:type="dxa"/>
                    <w:left w:w="39" w:type="dxa"/>
                    <w:bottom w:w="39" w:type="dxa"/>
                    <w:right w:w="39" w:type="dxa"/>
                  </w:tcMar>
                </w:tcPr>
                <w:p>
                  <w:pPr>
                    <w:spacing w:after="0" w:line="240" w:lineRule="auto"/>
                    <w:jc w:val="center"/>
                  </w:pPr>
                  <w:r>
                    <w:rPr>
                      <w:rFonts w:ascii="Times New Roman" w:hAnsi="Times New Roman" w:eastAsia="Times New Roman"/>
                      <w:b/>
                      <w:color w:val="000000"/>
                      <w:sz w:val="16"/>
                    </w:rPr>
                    <w:t xml:space="preserve">Objetivo Estratégico al que se Vincula</w:t>
                  </w:r>
                </w:p>
              </w:tc>
              <w:tc>
                <w:tcPr>
                  <w:tcW w:w="1417" w:type="dxa"/>
                  <w:tcBorders>
                    <w:top w:val="single" w:color="000000" w:sz="7"/>
                    <w:left w:val="single" w:color="000000" w:sz="7"/>
                    <w:bottom w:val="single" w:color="000000" w:sz="7"/>
                    <w:right w:val="single" w:color="000000" w:sz="7"/>
                  </w:tcBorders>
                  <w:shd w:val="clear" w:fill="D3D3D3"/>
                  <w:tcMar>
                    <w:top w:w="39" w:type="dxa"/>
                    <w:left w:w="39" w:type="dxa"/>
                    <w:bottom w:w="39" w:type="dxa"/>
                    <w:right w:w="39" w:type="dxa"/>
                  </w:tcMar>
                </w:tcPr>
                <w:p>
                  <w:pPr>
                    <w:spacing w:after="0" w:line="240" w:lineRule="auto"/>
                    <w:jc w:val="center"/>
                  </w:pPr>
                  <w:r>
                    <w:rPr>
                      <w:rFonts w:ascii="Times New Roman" w:hAnsi="Times New Roman" w:eastAsia="Times New Roman"/>
                      <w:b/>
                      <w:color w:val="000000"/>
                      <w:sz w:val="16"/>
                    </w:rPr>
                    <w:t xml:space="preserve">Identifique el Principal logro a obtener con el Objetivo (variable de resultado)</w:t>
                  </w:r>
                </w:p>
              </w:tc>
              <w:tc>
                <w:tcPr>
                  <w:tcW w:w="2168" w:type="dxa"/>
                  <w:tcBorders>
                    <w:top w:val="single" w:color="000000" w:sz="7"/>
                    <w:left w:val="single" w:color="000000" w:sz="7"/>
                    <w:bottom w:val="single" w:color="000000" w:sz="7"/>
                    <w:right w:val="single" w:color="000000" w:sz="7"/>
                  </w:tcBorders>
                  <w:shd w:val="clear" w:fill="D3D3D3"/>
                  <w:tcMar>
                    <w:top w:w="39" w:type="dxa"/>
                    <w:left w:w="39" w:type="dxa"/>
                    <w:bottom w:w="39" w:type="dxa"/>
                    <w:right w:w="39" w:type="dxa"/>
                  </w:tcMar>
                </w:tcPr>
                <w:p>
                  <w:pPr>
                    <w:spacing w:after="0" w:line="240" w:lineRule="auto"/>
                    <w:jc w:val="center"/>
                  </w:pPr>
                  <w:r>
                    <w:rPr>
                      <w:rFonts w:ascii="Times New Roman" w:hAnsi="Times New Roman" w:eastAsia="Times New Roman"/>
                      <w:b/>
                      <w:color w:val="000000"/>
                      <w:sz w:val="16"/>
                    </w:rPr>
                    <w:t xml:space="preserve">Indicador</w:t>
                  </w:r>
                </w:p>
              </w:tc>
              <w:tc>
                <w:tcPr>
                  <w:tcW w:w="1133" w:type="dxa"/>
                  <w:tcBorders>
                    <w:top w:val="single" w:color="000000" w:sz="7"/>
                    <w:left w:val="single" w:color="000000" w:sz="7"/>
                    <w:bottom w:val="single" w:color="000000" w:sz="7"/>
                    <w:right w:val="single" w:color="000000" w:sz="7"/>
                  </w:tcBorders>
                  <w:shd w:val="clear" w:fill="D3D3D3"/>
                  <w:tcMar>
                    <w:top w:w="39" w:type="dxa"/>
                    <w:left w:w="39" w:type="dxa"/>
                    <w:bottom w:w="39" w:type="dxa"/>
                    <w:right w:w="39" w:type="dxa"/>
                  </w:tcMar>
                </w:tcPr>
                <w:p>
                  <w:pPr>
                    <w:spacing w:after="0" w:line="240" w:lineRule="auto"/>
                    <w:jc w:val="center"/>
                  </w:pPr>
                  <w:r>
                    <w:rPr>
                      <w:rFonts w:ascii="Times New Roman" w:hAnsi="Times New Roman" w:eastAsia="Times New Roman"/>
                      <w:b/>
                      <w:color w:val="000000"/>
                      <w:sz w:val="16"/>
                    </w:rPr>
                    <w:t xml:space="preserve">Fórmula de Cálculo</w:t>
                  </w:r>
                </w:p>
              </w:tc>
              <w:tc>
                <w:tcPr>
                  <w:tcW w:w="1247" w:type="dxa"/>
                  <w:tcBorders>
                    <w:top w:val="single" w:color="000000" w:sz="7"/>
                    <w:left w:val="single" w:color="000000" w:sz="7"/>
                    <w:bottom w:val="single" w:color="000000" w:sz="7"/>
                    <w:right w:val="single" w:color="000000" w:sz="7"/>
                  </w:tcBorders>
                  <w:shd w:val="clear" w:fill="D3D3D3"/>
                  <w:tcMar>
                    <w:top w:w="39" w:type="dxa"/>
                    <w:left w:w="39" w:type="dxa"/>
                    <w:bottom w:w="39" w:type="dxa"/>
                    <w:right w:w="39" w:type="dxa"/>
                  </w:tcMar>
                </w:tcPr>
                <w:p>
                  <w:pPr>
                    <w:spacing w:after="0" w:line="240" w:lineRule="auto"/>
                    <w:jc w:val="center"/>
                  </w:pPr>
                  <w:r>
                    <w:rPr>
                      <w:rFonts w:ascii="Times New Roman" w:hAnsi="Times New Roman" w:eastAsia="Times New Roman"/>
                      <w:b/>
                      <w:color w:val="000000"/>
                      <w:sz w:val="16"/>
                    </w:rPr>
                    <w:t xml:space="preserve">Efectivo 2023</w:t>
                  </w:r>
                </w:p>
              </w:tc>
              <w:tc>
                <w:tcPr>
                  <w:tcW w:w="1247" w:type="dxa"/>
                  <w:tcBorders>
                    <w:top w:val="single" w:color="000000" w:sz="7"/>
                    <w:left w:val="single" w:color="000000" w:sz="7"/>
                    <w:bottom w:val="single" w:color="000000" w:sz="7"/>
                    <w:right w:val="single" w:color="000000" w:sz="7"/>
                  </w:tcBorders>
                  <w:shd w:val="clear" w:fill="D3D3D3"/>
                  <w:tcMar>
                    <w:top w:w="39" w:type="dxa"/>
                    <w:left w:w="39" w:type="dxa"/>
                    <w:bottom w:w="39" w:type="dxa"/>
                    <w:right w:w="39" w:type="dxa"/>
                  </w:tcMar>
                </w:tcPr>
                <w:p>
                  <w:pPr>
                    <w:spacing w:after="0" w:line="240" w:lineRule="auto"/>
                    <w:jc w:val="center"/>
                  </w:pPr>
                  <w:r>
                    <w:rPr>
                      <w:rFonts w:ascii="Times New Roman" w:hAnsi="Times New Roman" w:eastAsia="Times New Roman"/>
                      <w:b/>
                      <w:color w:val="000000"/>
                      <w:sz w:val="16"/>
                    </w:rPr>
                    <w:t xml:space="preserve">Efectivo 2024</w:t>
                  </w:r>
                </w:p>
              </w:tc>
              <w:tc>
                <w:tcPr>
                  <w:tcW w:w="1247" w:type="dxa"/>
                  <w:tcBorders>
                    <w:top w:val="single" w:color="000000" w:sz="7"/>
                    <w:left w:val="single" w:color="000000" w:sz="7"/>
                    <w:bottom w:val="single" w:color="000000" w:sz="7"/>
                    <w:right w:val="single" w:color="000000" w:sz="7"/>
                  </w:tcBorders>
                  <w:shd w:val="clear" w:fill="D3D3D3"/>
                  <w:tcMar>
                    <w:top w:w="39" w:type="dxa"/>
                    <w:left w:w="39" w:type="dxa"/>
                    <w:bottom w:w="39" w:type="dxa"/>
                    <w:right w:w="39" w:type="dxa"/>
                  </w:tcMar>
                </w:tcPr>
                <w:p>
                  <w:pPr>
                    <w:spacing w:after="0" w:line="240" w:lineRule="auto"/>
                    <w:jc w:val="center"/>
                  </w:pPr>
                  <w:r>
                    <w:rPr>
                      <w:rFonts w:ascii="Times New Roman" w:hAnsi="Times New Roman" w:eastAsia="Times New Roman"/>
                      <w:b/>
                      <w:color w:val="000000"/>
                      <w:sz w:val="16"/>
                    </w:rPr>
                    <w:t xml:space="preserve">Estimado 2025</w:t>
                  </w:r>
                </w:p>
              </w:tc>
              <w:tc>
                <w:tcPr>
                  <w:tcW w:w="1247" w:type="dxa"/>
                  <w:tcBorders>
                    <w:top w:val="single" w:color="000000" w:sz="7"/>
                    <w:left w:val="single" w:color="000000" w:sz="7"/>
                    <w:bottom w:val="single" w:color="000000" w:sz="7"/>
                    <w:right w:val="single" w:color="000000" w:sz="7"/>
                  </w:tcBorders>
                  <w:shd w:val="clear" w:fill="D3D3D3"/>
                  <w:tcMar>
                    <w:top w:w="39" w:type="dxa"/>
                    <w:left w:w="39" w:type="dxa"/>
                    <w:bottom w:w="39" w:type="dxa"/>
                    <w:right w:w="39" w:type="dxa"/>
                  </w:tcMar>
                </w:tcPr>
                <w:p>
                  <w:pPr>
                    <w:spacing w:after="0" w:line="240" w:lineRule="auto"/>
                    <w:jc w:val="center"/>
                  </w:pPr>
                  <w:r>
                    <w:rPr>
                      <w:rFonts w:ascii="Times New Roman" w:hAnsi="Times New Roman" w:eastAsia="Times New Roman"/>
                      <w:b/>
                      <w:color w:val="000000"/>
                      <w:sz w:val="16"/>
                    </w:rPr>
                    <w:t xml:space="preserve">Estimado 2026</w:t>
                  </w:r>
                </w:p>
              </w:tc>
              <w:tc>
                <w:tcPr>
                  <w:tcW w:w="1450" w:type="dxa"/>
                  <w:tcBorders>
                    <w:top w:val="single" w:color="000000" w:sz="7"/>
                    <w:left w:val="single" w:color="000000" w:sz="7"/>
                    <w:bottom w:val="single" w:color="000000" w:sz="7"/>
                    <w:right w:val="single" w:color="000000" w:sz="7"/>
                  </w:tcBorders>
                  <w:shd w:val="clear" w:fill="D3D3D3"/>
                  <w:tcMar>
                    <w:top w:w="39" w:type="dxa"/>
                    <w:left w:w="39" w:type="dxa"/>
                    <w:bottom w:w="39" w:type="dxa"/>
                    <w:right w:w="39" w:type="dxa"/>
                  </w:tcMar>
                </w:tcPr>
                <w:tbl>
                  <w:tblPr>
                    <w:tblCellMar>
                      <w:top w:w="0" w:type="dxa"/>
                      <w:left w:w="0" w:type="dxa"/>
                      <w:bottom w:w="0" w:type="dxa"/>
                      <w:right w:w="0" w:type="dxa"/>
                    </w:tblCellMar>
                  </w:tblPr>
                  <w:tblGrid>
                    <w:gridCol w:w="1370"/>
                  </w:tblGrid>
                  <w:tr>
                    <w:trPr>
                      <w:trHeight w:val="1310" w:hRule="exact"/>
                    </w:trPr>
                    <w:tc>
                      <w:tcPr>
                        <w:tcW w:w="1370" w:type="dxa"/>
                        <w:tcBorders>
                          <w:top w:val="nil" w:sz="0"/>
                        </w:tcBorders>
                        <w:shd w:val="clear" w:fill="D3D3D3"/>
                        <w:tcMar>
                          <w:top w:w="0" w:type="dxa"/>
                          <w:left w:w="0" w:type="dxa"/>
                          <w:bottom w:w="0" w:type="dxa"/>
                          <w:right w:w="0" w:type="dxa"/>
                        </w:tcMar>
                      </w:tcPr>
                      <w:p>
                        <w:pPr>
                          <w:spacing w:after="0" w:line="240" w:lineRule="auto"/>
                          <w:jc w:val="center"/>
                        </w:pPr>
                        <w:r>
                          <w:rPr>
                            <w:rFonts w:ascii="Times New Roman" w:hAnsi="Times New Roman" w:eastAsia="Times New Roman"/>
                            <w:b/>
                            <w:color w:val="000000"/>
                            <w:sz w:val="16"/>
                          </w:rPr>
                          <w:t xml:space="preserve">Medio de Verificación</w:t>
                        </w:r>
                      </w:p>
                    </w:tc>
                  </w:tr>
                </w:tbl>
                <w:p>
                  <w:pPr>
                    <w:spacing w:after="0" w:line="240" w:lineRule="auto"/>
                  </w:pPr>
                </w:p>
              </w:tc>
              <w:tc>
                <w:tcPr>
                  <w:tcW w:w="642" w:type="dxa"/>
                  <w:tcBorders>
                    <w:top w:val="single" w:color="000000" w:sz="7"/>
                    <w:left w:val="single" w:color="000000" w:sz="7"/>
                    <w:bottom w:val="single" w:color="000000" w:sz="7"/>
                    <w:right w:val="single" w:color="000000" w:sz="7"/>
                  </w:tcBorders>
                  <w:shd w:val="clear" w:fill="D3D3D3"/>
                  <w:tcMar>
                    <w:top w:w="39" w:type="dxa"/>
                    <w:left w:w="39" w:type="dxa"/>
                    <w:bottom w:w="39" w:type="dxa"/>
                    <w:right w:w="39" w:type="dxa"/>
                  </w:tcMar>
                </w:tcPr>
                <w:p>
                  <w:pPr>
                    <w:spacing w:after="0" w:line="240" w:lineRule="auto"/>
                    <w:jc w:val="center"/>
                  </w:pPr>
                  <w:r>
                    <w:rPr>
                      <w:rFonts w:ascii="Times New Roman" w:hAnsi="Times New Roman" w:eastAsia="Times New Roman"/>
                      <w:b/>
                      <w:color w:val="000000"/>
                      <w:sz w:val="16"/>
                    </w:rPr>
                    <w:t xml:space="preserve">Notas</w:t>
                  </w:r>
                </w:p>
              </w:tc>
            </w:tr>
            <w:tr>
              <w:trPr>
                <w:trHeight w:val="292" w:hRule="atLeast"/>
              </w:trPr>
              <w:tc>
                <w:tcPr>
                  <w:tcW w:w="122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16"/>
                    </w:rPr>
                    <w:t xml:space="preserve">Asegurar los apoyos requeridos para el cumplimiento de la agenda legislativa de Gobierno, y con ello anticipar y manejar conflictos en lo referido a las relaciones con el Congreso Nacional, los partidos políticos y las organizaciones religiosas, con el fin de asesorar eficazmente al Presidente/a de la República y a las y los Ministros. </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16"/>
                    </w:rPr>
                    <w:t xml:space="preserve">Elaboración informes de seguimiento de actividad legislativa</w:t>
                  </w:r>
                </w:p>
              </w:tc>
              <w:tc>
                <w:tcPr>
                  <w:tcW w:w="216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i/>
                      <w:color w:val="000000"/>
                      <w:sz w:val="16"/>
                      <w:u w:val="single"/>
                    </w:rPr>
                    <w:t xml:space="preserve">Eficacia/Producto</w:t>
                  </w:r>
                  <w:r>
                    <w:rPr>
                      <w:rFonts w:ascii="Times New Roman" w:hAnsi="Times New Roman" w:eastAsia="Times New Roman"/>
                      <w:color w:val="000000"/>
                      <w:sz w:val="16"/>
                    </w:rPr>
                  </w:r>
                  <w:r>
                    <w:rPr>
                      <w:rFonts w:ascii="Times New Roman" w:hAnsi="Times New Roman" w:eastAsia="Times New Roman"/>
                      <w:color w:val="000000"/>
                      <w:sz w:val="16"/>
                    </w:rPr>
                    <w:br/>
                  </w:r>
                </w:p>
                <w:p>
                  <w:pPr>
                    <w:spacing w:before="199" w:after="199" w:line="240" w:lineRule="auto"/>
                    <w:jc w:val="left"/>
                  </w:pPr>
                  <w:r>
                    <w:rPr>
                      <w:rFonts w:ascii="Times New Roman" w:hAnsi="Times New Roman" w:eastAsia="Times New Roman"/>
                      <w:color w:val="000000"/>
                      <w:sz w:val="16"/>
                    </w:rPr>
                    <w:t xml:space="preserve">1 Porcentaje de informes Semanales de actividad legislativa elaboradas en el año t respecto del total de semanas legislativas efectivas en el año t</w:t>
                  </w:r>
                </w:p>
              </w:tc>
              <w:tc>
                <w:tcPr>
                  <w:tcW w:w="1133"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16"/>
                    </w:rPr>
                    <w:t xml:space="preserve">(Nº de informes semanales de actividad legislativa año t/N° de semanas legislativas)*100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105.00 %</w:t>
                  </w:r>
                  <w:r>
                    <w:rPr>
                      <w:rFonts w:ascii="Times New Roman" w:hAnsi="Times New Roman" w:eastAsia="Times New Roman"/>
                      <w:color w:val="000000"/>
                      <w:sz w:val="16"/>
                    </w:rPr>
                    <w:br/>
                    <w:t xml:space="preserve">(39.00 / 37.00)*100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103.00 %</w:t>
                  </w:r>
                  <w:r>
                    <w:rPr>
                      <w:rFonts w:ascii="Times New Roman" w:hAnsi="Times New Roman" w:eastAsia="Times New Roman"/>
                      <w:color w:val="000000"/>
                      <w:sz w:val="16"/>
                    </w:rPr>
                    <w:br/>
                    <w:t xml:space="preserve">(39.00 / 38.00)*100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100.00 %</w:t>
                  </w:r>
                  <w:r>
                    <w:rPr>
                      <w:rFonts w:ascii="Times New Roman" w:hAnsi="Times New Roman" w:eastAsia="Times New Roman"/>
                      <w:color w:val="000000"/>
                      <w:sz w:val="16"/>
                    </w:rPr>
                    <w:br/>
                    <w:t xml:space="preserve">(37.00 / 37.00)*100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100.00 %</w:t>
                  </w:r>
                  <w:r>
                    <w:rPr>
                      <w:rFonts w:ascii="Times New Roman" w:hAnsi="Times New Roman" w:eastAsia="Times New Roman"/>
                      <w:color w:val="000000"/>
                      <w:sz w:val="16"/>
                    </w:rPr>
                    <w:br/>
                    <w:t xml:space="preserve">(37.00 / 37.00)*100</w:t>
                  </w:r>
                </w:p>
              </w:tc>
              <w:tc>
                <w:tcPr>
                  <w:tcW w:w="1450" w:type="dxa"/>
                  <w:tcBorders>
                    <w:top w:val="single" w:color="000000" w:sz="7"/>
                    <w:left w:val="single" w:color="000000" w:sz="7"/>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1417"/>
                    <w:gridCol w:w="32"/>
                  </w:tblGrid>
                  <w:tr>
                    <w:trPr/>
                    <w:tc>
                      <w:tcPr>
                        <w:tcW w:w="1417" w:type="dxa"/>
                        <w:tcBorders>
                          <w:top w:val="nil" w:sz="0"/>
                          <w:left w:val="nil" w:sz="0"/>
                        </w:tcBorders>
                      </w:tcPr>
                      <w:tbl>
                        <w:tblPr>
                          <w:tblBorders>
                            <w:top w:val="nil" w:color="FFFFFF" w:sz="7"/>
                            <w:left w:val="nil" w:color="FFFFFF" w:sz="7"/>
                            <w:bottom w:val="nil" w:color="FFFFFF" w:sz="7"/>
                            <w:right w:val="nil" w:color="FFFFFF" w:sz="7"/>
                          </w:tblBorders>
                          <w:tblCellMar>
                            <w:top w:w="0" w:type="dxa"/>
                            <w:left w:w="0" w:type="dxa"/>
                            <w:bottom w:w="0" w:type="dxa"/>
                            <w:right w:w="0" w:type="dxa"/>
                          </w:tblCellMar>
                        </w:tblPr>
                        <w:tblGrid>
                          <w:gridCol w:w="1417"/>
                        </w:tblGrid>
                        <w:tr>
                          <w:trPr>
                            <w:trHeight w:val="262" w:hRule="atLeast"/>
                          </w:trPr>
                          <w:tc>
                            <w:tcPr>
                              <w:tcW w:w="1417" w:type="dxa"/>
                              <w:tcBorders>
                                <w:top w:val="nil" w:color="FFFFFF" w:sz="7"/>
                                <w:left w:val="nil" w:color="FFFFFF" w:sz="7"/>
                                <w:bottom w:val="single" w:color="D3D3D3" w:sz="7"/>
                                <w:right w:val="single" w:color="D3D3D3"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Reporte Informe Semanal de Actividad Legislativa (ISAL)</w:t>
                              </w:r>
                            </w:p>
                          </w:tc>
                        </w:tr>
                      </w:tbl>
                      <w:p>
                        <w:pPr>
                          <w:spacing w:after="0" w:line="240" w:lineRule="auto"/>
                        </w:pPr>
                      </w:p>
                    </w:tc>
                    <w:tc>
                      <w:tcPr>
                        <w:tcW w:w="32" w:type="dxa"/>
                        <w:tcBorders>
                          <w:top w:val="nil" w:sz="0"/>
                          <w:right w:val="nil" w:sz="0"/>
                        </w:tcBorders>
                      </w:tcPr>
                      <w:p>
                        <w:pPr>
                          <w:pStyle w:val="EmptyCellLayoutStyle"/>
                          <w:spacing w:after="0" w:line="240" w:lineRule="auto"/>
                        </w:pPr>
                      </w:p>
                    </w:tc>
                  </w:tr>
                  <w:tr>
                    <w:trPr>
                      <w:trHeight w:val="19" w:hRule="atLeast"/>
                    </w:trPr>
                    <w:tc>
                      <w:tcPr>
                        <w:tcW w:w="1417" w:type="dxa"/>
                        <w:tcBorders>
                          <w:left w:val="nil" w:sz="0"/>
                          <w:bottom w:val="nil" w:sz="0"/>
                        </w:tcBorders>
                      </w:tcPr>
                      <w:p>
                        <w:pPr>
                          <w:pStyle w:val="EmptyCellLayoutStyle"/>
                          <w:spacing w:after="0" w:line="240" w:lineRule="auto"/>
                        </w:pPr>
                      </w:p>
                    </w:tc>
                    <w:tc>
                      <w:tcPr>
                        <w:tcW w:w="32" w:type="dxa"/>
                        <w:tcBorders>
                          <w:bottom w:val="nil" w:sz="0"/>
                          <w:right w:val="nil" w:sz="0"/>
                        </w:tcBorders>
                      </w:tcPr>
                      <w:p>
                        <w:pPr>
                          <w:pStyle w:val="EmptyCellLayoutStyle"/>
                          <w:spacing w:after="0" w:line="240" w:lineRule="auto"/>
                        </w:pPr>
                      </w:p>
                    </w:tc>
                  </w:tr>
                </w:tbl>
                <w:p>
                  <w:pPr>
                    <w:spacing w:after="0" w:line="240" w:lineRule="auto"/>
                  </w:pPr>
                </w:p>
              </w:tc>
              <w:tc>
                <w:tcPr>
                  <w:tcW w:w="64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1</w:t>
                  </w:r>
                </w:p>
              </w:tc>
            </w:tr>
            <w:tr>
              <w:trPr>
                <w:trHeight w:val="292" w:hRule="atLeast"/>
              </w:trPr>
              <w:tc>
                <w:tcPr>
                  <w:tcW w:w="122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16"/>
                    </w:rPr>
                    <w:t xml:space="preserve">Participa eficazmente en la gestión la agenda legislativa de Gobierno, a través de la revisión y estudio de los anteproyectos respectivos, a objeto de asesorar al Ejecutivo en el ejercicio de su función colegisladora, así como apoyar la potestad reglamentaria del Presidente/a de la República. </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16"/>
                    </w:rPr>
                    <w:t xml:space="preserve">elaboración de minutas de mensajes.</w:t>
                  </w:r>
                </w:p>
              </w:tc>
              <w:tc>
                <w:tcPr>
                  <w:tcW w:w="216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i/>
                      <w:color w:val="000000"/>
                      <w:sz w:val="16"/>
                      <w:u w:val="single"/>
                    </w:rPr>
                    <w:t xml:space="preserve">Eficacia/Producto</w:t>
                  </w:r>
                  <w:r>
                    <w:rPr>
                      <w:rFonts w:ascii="Times New Roman" w:hAnsi="Times New Roman" w:eastAsia="Times New Roman"/>
                      <w:color w:val="000000"/>
                      <w:sz w:val="16"/>
                    </w:rPr>
                  </w:r>
                  <w:r>
                    <w:rPr>
                      <w:rFonts w:ascii="Times New Roman" w:hAnsi="Times New Roman" w:eastAsia="Times New Roman"/>
                      <w:color w:val="000000"/>
                      <w:sz w:val="16"/>
                    </w:rPr>
                    <w:br/>
                  </w:r>
                </w:p>
                <w:p>
                  <w:pPr>
                    <w:spacing w:before="199" w:after="199" w:line="240" w:lineRule="auto"/>
                    <w:jc w:val="left"/>
                  </w:pPr>
                  <w:r>
                    <w:rPr>
                      <w:rFonts w:ascii="Times New Roman" w:hAnsi="Times New Roman" w:eastAsia="Times New Roman"/>
                      <w:color w:val="000000"/>
                      <w:sz w:val="16"/>
                    </w:rPr>
                    <w:t xml:space="preserve">2 Porcentaje de minutas de Mensajes elaboradas en el año t, por Mensajes en tabla y discutidos, respecto al número total de Mensajes en tabla discutidos en el año t </w:t>
                  </w:r>
                </w:p>
              </w:tc>
              <w:tc>
                <w:tcPr>
                  <w:tcW w:w="1133"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16"/>
                    </w:rPr>
                    <w:t xml:space="preserve">(Nº de minutas de Mensajes producidas en el año t por Mensajes en tabla discutidos/Nº total de Mensajes en tabla discutidos en el año t)*100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100.00 %</w:t>
                  </w:r>
                  <w:r>
                    <w:rPr>
                      <w:rFonts w:ascii="Times New Roman" w:hAnsi="Times New Roman" w:eastAsia="Times New Roman"/>
                      <w:color w:val="000000"/>
                      <w:sz w:val="16"/>
                    </w:rPr>
                    <w:br/>
                    <w:t xml:space="preserve">(203.00 / 203.00)*100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100.00 %</w:t>
                  </w:r>
                  <w:r>
                    <w:rPr>
                      <w:rFonts w:ascii="Times New Roman" w:hAnsi="Times New Roman" w:eastAsia="Times New Roman"/>
                      <w:color w:val="000000"/>
                      <w:sz w:val="16"/>
                    </w:rPr>
                    <w:br/>
                    <w:t xml:space="preserve">(205.00 / 205.00)*100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100.00 %</w:t>
                  </w:r>
                  <w:r>
                    <w:rPr>
                      <w:rFonts w:ascii="Times New Roman" w:hAnsi="Times New Roman" w:eastAsia="Times New Roman"/>
                      <w:color w:val="000000"/>
                      <w:sz w:val="16"/>
                    </w:rPr>
                    <w:br/>
                    <w:t xml:space="preserve">(100.00 / 100.00)*100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100.00 %</w:t>
                  </w:r>
                  <w:r>
                    <w:rPr>
                      <w:rFonts w:ascii="Times New Roman" w:hAnsi="Times New Roman" w:eastAsia="Times New Roman"/>
                      <w:color w:val="000000"/>
                      <w:sz w:val="16"/>
                    </w:rPr>
                    <w:br/>
                    <w:t xml:space="preserve">(100.00 / 100.00)*100</w:t>
                  </w:r>
                </w:p>
              </w:tc>
              <w:tc>
                <w:tcPr>
                  <w:tcW w:w="1450" w:type="dxa"/>
                  <w:tcBorders>
                    <w:top w:val="single" w:color="000000" w:sz="7"/>
                    <w:left w:val="single" w:color="000000" w:sz="7"/>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1417"/>
                    <w:gridCol w:w="32"/>
                  </w:tblGrid>
                  <w:tr>
                    <w:trPr/>
                    <w:tc>
                      <w:tcPr>
                        <w:tcW w:w="1417" w:type="dxa"/>
                        <w:tcBorders>
                          <w:top w:val="nil" w:sz="0"/>
                          <w:left w:val="nil" w:sz="0"/>
                        </w:tcBorders>
                      </w:tcPr>
                      <w:tbl>
                        <w:tblPr>
                          <w:tblBorders>
                            <w:top w:val="nil" w:color="FFFFFF" w:sz="7"/>
                            <w:left w:val="nil" w:color="FFFFFF" w:sz="7"/>
                            <w:bottom w:val="nil" w:color="FFFFFF" w:sz="7"/>
                            <w:right w:val="nil" w:color="FFFFFF" w:sz="7"/>
                          </w:tblBorders>
                          <w:tblCellMar>
                            <w:top w:w="0" w:type="dxa"/>
                            <w:left w:w="0" w:type="dxa"/>
                            <w:bottom w:w="0" w:type="dxa"/>
                            <w:right w:w="0" w:type="dxa"/>
                          </w:tblCellMar>
                        </w:tblPr>
                        <w:tblGrid>
                          <w:gridCol w:w="1417"/>
                        </w:tblGrid>
                        <w:tr>
                          <w:trPr>
                            <w:trHeight w:val="262" w:hRule="atLeast"/>
                          </w:trPr>
                          <w:tc>
                            <w:tcPr>
                              <w:tcW w:w="1417" w:type="dxa"/>
                              <w:tcBorders>
                                <w:top w:val="nil" w:color="FFFFFF" w:sz="7"/>
                                <w:left w:val="nil" w:color="FFFFFF" w:sz="7"/>
                                <w:bottom w:val="single" w:color="D3D3D3" w:sz="7"/>
                                <w:right w:val="single" w:color="D3D3D3"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Informe de minutas de mensajes elaboradas</w:t>
                              </w:r>
                            </w:p>
                          </w:tc>
                        </w:tr>
                      </w:tbl>
                      <w:p>
                        <w:pPr>
                          <w:spacing w:after="0" w:line="240" w:lineRule="auto"/>
                        </w:pPr>
                      </w:p>
                    </w:tc>
                    <w:tc>
                      <w:tcPr>
                        <w:tcW w:w="32" w:type="dxa"/>
                        <w:tcBorders>
                          <w:top w:val="nil" w:sz="0"/>
                          <w:right w:val="nil" w:sz="0"/>
                        </w:tcBorders>
                      </w:tcPr>
                      <w:p>
                        <w:pPr>
                          <w:pStyle w:val="EmptyCellLayoutStyle"/>
                          <w:spacing w:after="0" w:line="240" w:lineRule="auto"/>
                        </w:pPr>
                      </w:p>
                    </w:tc>
                  </w:tr>
                  <w:tr>
                    <w:trPr>
                      <w:trHeight w:val="19" w:hRule="atLeast"/>
                    </w:trPr>
                    <w:tc>
                      <w:tcPr>
                        <w:tcW w:w="1417" w:type="dxa"/>
                        <w:tcBorders>
                          <w:left w:val="nil" w:sz="0"/>
                          <w:bottom w:val="nil" w:sz="0"/>
                        </w:tcBorders>
                      </w:tcPr>
                      <w:p>
                        <w:pPr>
                          <w:pStyle w:val="EmptyCellLayoutStyle"/>
                          <w:spacing w:after="0" w:line="240" w:lineRule="auto"/>
                        </w:pPr>
                      </w:p>
                    </w:tc>
                    <w:tc>
                      <w:tcPr>
                        <w:tcW w:w="32" w:type="dxa"/>
                        <w:tcBorders>
                          <w:bottom w:val="nil" w:sz="0"/>
                          <w:right w:val="nil" w:sz="0"/>
                        </w:tcBorders>
                      </w:tcPr>
                      <w:p>
                        <w:pPr>
                          <w:pStyle w:val="EmptyCellLayoutStyle"/>
                          <w:spacing w:after="0" w:line="240" w:lineRule="auto"/>
                        </w:pPr>
                      </w:p>
                    </w:tc>
                  </w:tr>
                </w:tbl>
                <w:p>
                  <w:pPr>
                    <w:spacing w:after="0" w:line="240" w:lineRule="auto"/>
                  </w:pPr>
                </w:p>
              </w:tc>
              <w:tc>
                <w:tcPr>
                  <w:tcW w:w="64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2</w:t>
                  </w:r>
                </w:p>
              </w:tc>
            </w:tr>
            <w:tr>
              <w:trPr>
                <w:trHeight w:val="632" w:hRule="atLeast"/>
              </w:trPr>
              <w:tc>
                <w:tcPr>
                  <w:tcW w:w="122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16"/>
                    </w:rPr>
                    <w:t xml:space="preserve">Asesorar al Presidente/a de la República en materias de integridad pública, probidad y transparencia en el ejercicio de la función pública y dar seguimiento a la implementación de la Estrategia Nacional de Integridad Pública; así como asesorar a los órganos de la administración del Estado en la calidad de los servicios que se entregan </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16"/>
                    </w:rPr>
                    <w:t xml:space="preserve">actas de reuniones con encargados de Transparencia en Subsecretarias.</w:t>
                  </w:r>
                </w:p>
              </w:tc>
              <w:tc>
                <w:tcPr>
                  <w:tcW w:w="216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i/>
                      <w:color w:val="000000"/>
                      <w:sz w:val="16"/>
                      <w:u w:val="single"/>
                    </w:rPr>
                    <w:t xml:space="preserve">Eficacia/Producto</w:t>
                  </w:r>
                  <w:r>
                    <w:rPr>
                      <w:rFonts w:ascii="Times New Roman" w:hAnsi="Times New Roman" w:eastAsia="Times New Roman"/>
                      <w:color w:val="000000"/>
                      <w:sz w:val="16"/>
                    </w:rPr>
                  </w:r>
                  <w:r>
                    <w:rPr>
                      <w:rFonts w:ascii="Times New Roman" w:hAnsi="Times New Roman" w:eastAsia="Times New Roman"/>
                      <w:color w:val="000000"/>
                      <w:sz w:val="16"/>
                    </w:rPr>
                    <w:br/>
                  </w:r>
                </w:p>
                <w:p>
                  <w:pPr>
                    <w:spacing w:before="199" w:after="199" w:line="240" w:lineRule="auto"/>
                    <w:jc w:val="left"/>
                  </w:pPr>
                  <w:r>
                    <w:rPr>
                      <w:rFonts w:ascii="Times New Roman" w:hAnsi="Times New Roman" w:eastAsia="Times New Roman"/>
                      <w:color w:val="000000"/>
                      <w:sz w:val="16"/>
                    </w:rPr>
                    <w:t xml:space="preserve">3 Porcentaje de actas de actividades sobre revisión de materias de transparencia de la función pública realizadas con encargados/as de transparencia de subsecretarías (presenciales o telemáticas), respecto al total de reuniones del año t</w:t>
                  </w:r>
                </w:p>
              </w:tc>
              <w:tc>
                <w:tcPr>
                  <w:tcW w:w="1133"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16"/>
                    </w:rPr>
                    <w:t xml:space="preserve">(N° de actas de actividades sobre revisión de materias de transparencia de la función pública realizadas con encargados/as de transparencia de subsecretarías /N° total de reuniones realizadas con Enlaces de transparencia de Subsecretarías en el año t)*100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100.00 %</w:t>
                  </w:r>
                  <w:r>
                    <w:rPr>
                      <w:rFonts w:ascii="Times New Roman" w:hAnsi="Times New Roman" w:eastAsia="Times New Roman"/>
                      <w:color w:val="000000"/>
                      <w:sz w:val="16"/>
                    </w:rPr>
                    <w:br/>
                    <w:t xml:space="preserve">(4.00 / 4.00)*100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75.00 %</w:t>
                  </w:r>
                  <w:r>
                    <w:rPr>
                      <w:rFonts w:ascii="Times New Roman" w:hAnsi="Times New Roman" w:eastAsia="Times New Roman"/>
                      <w:color w:val="000000"/>
                      <w:sz w:val="16"/>
                    </w:rPr>
                    <w:br/>
                    <w:t xml:space="preserve">(3.00 / 4.00)*100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100.00 %</w:t>
                  </w:r>
                  <w:r>
                    <w:rPr>
                      <w:rFonts w:ascii="Times New Roman" w:hAnsi="Times New Roman" w:eastAsia="Times New Roman"/>
                      <w:color w:val="000000"/>
                      <w:sz w:val="16"/>
                    </w:rPr>
                    <w:br/>
                    <w:t xml:space="preserve">(3.00 / 3.00)*100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100.00 %</w:t>
                  </w:r>
                  <w:r>
                    <w:rPr>
                      <w:rFonts w:ascii="Times New Roman" w:hAnsi="Times New Roman" w:eastAsia="Times New Roman"/>
                      <w:color w:val="000000"/>
                      <w:sz w:val="16"/>
                    </w:rPr>
                    <w:br/>
                    <w:t xml:space="preserve">(3.00 / 3.00)*100</w:t>
                  </w:r>
                </w:p>
              </w:tc>
              <w:tc>
                <w:tcPr>
                  <w:tcW w:w="1450" w:type="dxa"/>
                  <w:tcBorders>
                    <w:top w:val="single" w:color="000000" w:sz="7"/>
                    <w:left w:val="single" w:color="000000" w:sz="7"/>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1417"/>
                    <w:gridCol w:w="32"/>
                  </w:tblGrid>
                  <w:tr>
                    <w:trPr/>
                    <w:tc>
                      <w:tcPr>
                        <w:tcW w:w="1417" w:type="dxa"/>
                        <w:tcBorders>
                          <w:top w:val="nil" w:sz="0"/>
                          <w:left w:val="nil" w:sz="0"/>
                        </w:tcBorders>
                      </w:tcPr>
                      <w:tbl>
                        <w:tblPr>
                          <w:tblBorders>
                            <w:top w:val="nil" w:color="FFFFFF" w:sz="7"/>
                            <w:left w:val="nil" w:color="FFFFFF" w:sz="7"/>
                            <w:bottom w:val="nil" w:color="FFFFFF" w:sz="7"/>
                            <w:right w:val="nil" w:color="FFFFFF" w:sz="7"/>
                          </w:tblBorders>
                          <w:tblCellMar>
                            <w:top w:w="0" w:type="dxa"/>
                            <w:left w:w="0" w:type="dxa"/>
                            <w:bottom w:w="0" w:type="dxa"/>
                            <w:right w:w="0" w:type="dxa"/>
                          </w:tblCellMar>
                        </w:tblPr>
                        <w:tblGrid>
                          <w:gridCol w:w="1417"/>
                        </w:tblGrid>
                        <w:tr>
                          <w:trPr>
                            <w:trHeight w:val="262" w:hRule="atLeast"/>
                          </w:trPr>
                          <w:tc>
                            <w:tcPr>
                              <w:tcW w:w="1417" w:type="dxa"/>
                              <w:tcBorders>
                                <w:top w:val="nil" w:color="FFFFFF" w:sz="7"/>
                                <w:left w:val="nil" w:color="FFFFFF" w:sz="7"/>
                                <w:bottom w:val="single" w:color="D3D3D3" w:sz="7"/>
                                <w:right w:val="single" w:color="D3D3D3"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Para numerador: Se elaborará un acta por actividad realizada, la que detallará, entre otros aspectos: nombre de la actividad, fecha, lugar o enlace, lista de asistentes (nombre del funcionario/a e institución que representa) y temas tratados.</w:t>
                              </w:r>
                            </w:p>
                          </w:tc>
                        </w:tr>
                        <w:tr>
                          <w:trPr>
                            <w:trHeight w:val="262" w:hRule="atLeast"/>
                          </w:trPr>
                          <w:tc>
                            <w:tcPr>
                              <w:tcW w:w="1417" w:type="dxa"/>
                              <w:tcBorders>
                                <w:top w:val="single" w:color="D3D3D3" w:sz="7"/>
                                <w:left w:val="nil" w:color="FFFFFF" w:sz="7"/>
                                <w:bottom w:val="single" w:color="D3D3D3" w:sz="7"/>
                                <w:right w:val="single" w:color="D3D3D3"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Para denominador: Consistirá en la convocatoria de reunión a través del instrumento definido para citar.</w:t>
                              </w:r>
                            </w:p>
                          </w:tc>
                        </w:tr>
                      </w:tbl>
                      <w:p>
                        <w:pPr>
                          <w:spacing w:after="0" w:line="240" w:lineRule="auto"/>
                        </w:pPr>
                      </w:p>
                    </w:tc>
                    <w:tc>
                      <w:tcPr>
                        <w:tcW w:w="32" w:type="dxa"/>
                        <w:tcBorders>
                          <w:top w:val="nil" w:sz="0"/>
                          <w:right w:val="nil" w:sz="0"/>
                        </w:tcBorders>
                      </w:tcPr>
                      <w:p>
                        <w:pPr>
                          <w:pStyle w:val="EmptyCellLayoutStyle"/>
                          <w:spacing w:after="0" w:line="240" w:lineRule="auto"/>
                        </w:pPr>
                      </w:p>
                    </w:tc>
                  </w:tr>
                  <w:tr>
                    <w:trPr>
                      <w:trHeight w:val="19" w:hRule="atLeast"/>
                    </w:trPr>
                    <w:tc>
                      <w:tcPr>
                        <w:tcW w:w="1417" w:type="dxa"/>
                        <w:tcBorders>
                          <w:left w:val="nil" w:sz="0"/>
                          <w:bottom w:val="nil" w:sz="0"/>
                        </w:tcBorders>
                      </w:tcPr>
                      <w:p>
                        <w:pPr>
                          <w:pStyle w:val="EmptyCellLayoutStyle"/>
                          <w:spacing w:after="0" w:line="240" w:lineRule="auto"/>
                        </w:pPr>
                      </w:p>
                    </w:tc>
                    <w:tc>
                      <w:tcPr>
                        <w:tcW w:w="32" w:type="dxa"/>
                        <w:tcBorders>
                          <w:bottom w:val="nil" w:sz="0"/>
                          <w:right w:val="nil" w:sz="0"/>
                        </w:tcBorders>
                      </w:tcPr>
                      <w:p>
                        <w:pPr>
                          <w:pStyle w:val="EmptyCellLayoutStyle"/>
                          <w:spacing w:after="0" w:line="240" w:lineRule="auto"/>
                        </w:pPr>
                      </w:p>
                    </w:tc>
                  </w:tr>
                </w:tbl>
                <w:p>
                  <w:pPr>
                    <w:spacing w:after="0" w:line="240" w:lineRule="auto"/>
                  </w:pPr>
                </w:p>
              </w:tc>
              <w:tc>
                <w:tcPr>
                  <w:tcW w:w="64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3</w:t>
                  </w:r>
                </w:p>
              </w:tc>
            </w:tr>
            <w:tr>
              <w:trPr>
                <w:trHeight w:val="292" w:hRule="atLeast"/>
              </w:trPr>
              <w:tc>
                <w:tcPr>
                  <w:tcW w:w="122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16"/>
                    </w:rPr>
                    <w:t xml:space="preserve">Apoyar y asesorar al Presidente/a de la </w:t>
                  </w:r>
                  <w:r>
                    <w:rPr>
                      <w:rFonts w:ascii="Times New Roman" w:hAnsi="Times New Roman" w:eastAsia="Times New Roman"/>
                      <w:color w:val="000000"/>
                      <w:sz w:val="16"/>
                    </w:rPr>
                    <w:br/>
                    <w:t xml:space="preserve">República y a las y los Ministros, en la </w:t>
                  </w:r>
                  <w:r>
                    <w:rPr>
                      <w:rFonts w:ascii="Times New Roman" w:hAnsi="Times New Roman" w:eastAsia="Times New Roman"/>
                      <w:color w:val="000000"/>
                      <w:sz w:val="16"/>
                    </w:rPr>
                    <w:br/>
                    <w:t xml:space="preserve">implementación de la Política de Auditoría </w:t>
                  </w:r>
                  <w:r>
                    <w:rPr>
                      <w:rFonts w:ascii="Times New Roman" w:hAnsi="Times New Roman" w:eastAsia="Times New Roman"/>
                      <w:color w:val="000000"/>
                      <w:sz w:val="16"/>
                    </w:rPr>
                    <w:br/>
                    <w:t xml:space="preserve">Interna de Gobierno a través de acciones </w:t>
                  </w:r>
                  <w:r>
                    <w:rPr>
                      <w:rFonts w:ascii="Times New Roman" w:hAnsi="Times New Roman" w:eastAsia="Times New Roman"/>
                      <w:color w:val="000000"/>
                      <w:sz w:val="16"/>
                    </w:rPr>
                    <w:br/>
                    <w:t xml:space="preserve">preventivas orientadas a robustecer la probidad </w:t>
                  </w:r>
                  <w:r>
                    <w:rPr>
                      <w:rFonts w:ascii="Times New Roman" w:hAnsi="Times New Roman" w:eastAsia="Times New Roman"/>
                      <w:color w:val="000000"/>
                      <w:sz w:val="16"/>
                    </w:rPr>
                    <w:br/>
                    <w:t xml:space="preserve">e integridad en el actuar de las y los </w:t>
                  </w:r>
                  <w:r>
                    <w:rPr>
                      <w:rFonts w:ascii="Times New Roman" w:hAnsi="Times New Roman" w:eastAsia="Times New Roman"/>
                      <w:color w:val="000000"/>
                      <w:sz w:val="16"/>
                    </w:rPr>
                    <w:br/>
                    <w:t xml:space="preserve">funcionarios mediante el fortalecimiento de la </w:t>
                  </w:r>
                  <w:r>
                    <w:rPr>
                      <w:rFonts w:ascii="Times New Roman" w:hAnsi="Times New Roman" w:eastAsia="Times New Roman"/>
                      <w:color w:val="000000"/>
                      <w:sz w:val="16"/>
                    </w:rPr>
                    <w:br/>
                    <w:t xml:space="preserve">gobernanza institucional, con énfasis en la </w:t>
                  </w:r>
                  <w:r>
                    <w:rPr>
                      <w:rFonts w:ascii="Times New Roman" w:hAnsi="Times New Roman" w:eastAsia="Times New Roman"/>
                      <w:color w:val="000000"/>
                      <w:sz w:val="16"/>
                    </w:rPr>
                    <w:br/>
                    <w:t xml:space="preserve">gestión de los riesgos críticos de la </w:t>
                  </w:r>
                  <w:r>
                    <w:rPr>
                      <w:rFonts w:ascii="Times New Roman" w:hAnsi="Times New Roman" w:eastAsia="Times New Roman"/>
                      <w:color w:val="000000"/>
                      <w:sz w:val="16"/>
                    </w:rPr>
                    <w:br/>
                    <w:t xml:space="preserve">Administración del Estado y el mejoramiento del </w:t>
                  </w:r>
                  <w:r>
                    <w:rPr>
                      <w:rFonts w:ascii="Times New Roman" w:hAnsi="Times New Roman" w:eastAsia="Times New Roman"/>
                      <w:color w:val="000000"/>
                      <w:sz w:val="16"/>
                    </w:rPr>
                    <w:br/>
                    <w:t xml:space="preserve">sistema de control interno. </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16"/>
                    </w:rPr>
                    <w:t xml:space="preserve">Objetivos gubernamentales de auditoría informados</w:t>
                  </w:r>
                </w:p>
              </w:tc>
              <w:tc>
                <w:tcPr>
                  <w:tcW w:w="216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i/>
                      <w:color w:val="000000"/>
                      <w:sz w:val="16"/>
                      <w:u w:val="single"/>
                    </w:rPr>
                    <w:t xml:space="preserve">Eficacia/Producto</w:t>
                  </w:r>
                  <w:r>
                    <w:rPr>
                      <w:rFonts w:ascii="Times New Roman" w:hAnsi="Times New Roman" w:eastAsia="Times New Roman"/>
                      <w:color w:val="000000"/>
                      <w:sz w:val="16"/>
                    </w:rPr>
                  </w:r>
                  <w:r>
                    <w:rPr>
                      <w:rFonts w:ascii="Times New Roman" w:hAnsi="Times New Roman" w:eastAsia="Times New Roman"/>
                      <w:color w:val="000000"/>
                      <w:sz w:val="16"/>
                    </w:rPr>
                    <w:br/>
                  </w:r>
                </w:p>
                <w:p>
                  <w:pPr>
                    <w:spacing w:before="199" w:after="199" w:line="240" w:lineRule="auto"/>
                    <w:jc w:val="left"/>
                  </w:pPr>
                  <w:r>
                    <w:rPr>
                      <w:rFonts w:ascii="Times New Roman" w:hAnsi="Times New Roman" w:eastAsia="Times New Roman"/>
                      <w:color w:val="000000"/>
                      <w:sz w:val="16"/>
                    </w:rPr>
                    <w:t xml:space="preserve">4 Porcentaje de objetivos gubernamentales informados durante el año t respecto del número de objetivos gubernamentales planificados para el año t</w:t>
                  </w:r>
                </w:p>
              </w:tc>
              <w:tc>
                <w:tcPr>
                  <w:tcW w:w="1133"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16"/>
                    </w:rPr>
                    <w:t xml:space="preserve">(N° de Objetivos Gubernamentales de Auditoría informados respecto de resultados en el año t al Pdte/a. del Consejo de Auditoría/N° de Objetivos Gubernamentales de Auditoría aprobados por el Pdte. de la República para el año t)*100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100.00 %</w:t>
                  </w:r>
                  <w:r>
                    <w:rPr>
                      <w:rFonts w:ascii="Times New Roman" w:hAnsi="Times New Roman" w:eastAsia="Times New Roman"/>
                      <w:color w:val="000000"/>
                      <w:sz w:val="16"/>
                    </w:rPr>
                    <w:br/>
                    <w:t xml:space="preserve">(6.00 / 6.00)*100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100.00 %</w:t>
                  </w:r>
                  <w:r>
                    <w:rPr>
                      <w:rFonts w:ascii="Times New Roman" w:hAnsi="Times New Roman" w:eastAsia="Times New Roman"/>
                      <w:color w:val="000000"/>
                      <w:sz w:val="16"/>
                    </w:rPr>
                    <w:br/>
                    <w:t xml:space="preserve">(4.00 / 4.00)*100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100.00 %</w:t>
                  </w:r>
                  <w:r>
                    <w:rPr>
                      <w:rFonts w:ascii="Times New Roman" w:hAnsi="Times New Roman" w:eastAsia="Times New Roman"/>
                      <w:color w:val="000000"/>
                      <w:sz w:val="16"/>
                    </w:rPr>
                    <w:br/>
                    <w:t xml:space="preserve">(4.00 / 4.00)*100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100.00 %</w:t>
                  </w:r>
                  <w:r>
                    <w:rPr>
                      <w:rFonts w:ascii="Times New Roman" w:hAnsi="Times New Roman" w:eastAsia="Times New Roman"/>
                      <w:color w:val="000000"/>
                      <w:sz w:val="16"/>
                    </w:rPr>
                    <w:br/>
                    <w:t xml:space="preserve">(5.00 / 5.00)*100</w:t>
                  </w:r>
                </w:p>
              </w:tc>
              <w:tc>
                <w:tcPr>
                  <w:tcW w:w="1450" w:type="dxa"/>
                  <w:tcBorders>
                    <w:top w:val="single" w:color="000000" w:sz="7"/>
                    <w:left w:val="single" w:color="000000" w:sz="7"/>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1417"/>
                    <w:gridCol w:w="32"/>
                  </w:tblGrid>
                  <w:tr>
                    <w:trPr/>
                    <w:tc>
                      <w:tcPr>
                        <w:tcW w:w="1417" w:type="dxa"/>
                        <w:tcBorders>
                          <w:top w:val="nil" w:sz="0"/>
                          <w:left w:val="nil" w:sz="0"/>
                        </w:tcBorders>
                      </w:tcPr>
                      <w:tbl>
                        <w:tblPr>
                          <w:tblBorders>
                            <w:top w:val="nil" w:color="FFFFFF" w:sz="7"/>
                            <w:left w:val="nil" w:color="FFFFFF" w:sz="7"/>
                            <w:bottom w:val="nil" w:color="FFFFFF" w:sz="7"/>
                            <w:right w:val="nil" w:color="FFFFFF" w:sz="7"/>
                          </w:tblBorders>
                          <w:tblCellMar>
                            <w:top w:w="0" w:type="dxa"/>
                            <w:left w:w="0" w:type="dxa"/>
                            <w:bottom w:w="0" w:type="dxa"/>
                            <w:right w:w="0" w:type="dxa"/>
                          </w:tblCellMar>
                        </w:tblPr>
                        <w:tblGrid>
                          <w:gridCol w:w="1417"/>
                        </w:tblGrid>
                        <w:tr>
                          <w:trPr>
                            <w:trHeight w:val="262" w:hRule="atLeast"/>
                          </w:trPr>
                          <w:tc>
                            <w:tcPr>
                              <w:tcW w:w="1417" w:type="dxa"/>
                              <w:tcBorders>
                                <w:top w:val="nil" w:color="FFFFFF" w:sz="7"/>
                                <w:left w:val="nil" w:color="FFFFFF" w:sz="7"/>
                                <w:bottom w:val="single" w:color="D3D3D3" w:sz="7"/>
                                <w:right w:val="single" w:color="D3D3D3"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Informe consolidado Anual de la implementación de los Objetivos Gubernamentales de Auditoría</w:t>
                              </w:r>
                            </w:p>
                          </w:tc>
                        </w:tr>
                      </w:tbl>
                      <w:p>
                        <w:pPr>
                          <w:spacing w:after="0" w:line="240" w:lineRule="auto"/>
                        </w:pPr>
                      </w:p>
                    </w:tc>
                    <w:tc>
                      <w:tcPr>
                        <w:tcW w:w="32" w:type="dxa"/>
                        <w:tcBorders>
                          <w:top w:val="nil" w:sz="0"/>
                          <w:right w:val="nil" w:sz="0"/>
                        </w:tcBorders>
                      </w:tcPr>
                      <w:p>
                        <w:pPr>
                          <w:pStyle w:val="EmptyCellLayoutStyle"/>
                          <w:spacing w:after="0" w:line="240" w:lineRule="auto"/>
                        </w:pPr>
                      </w:p>
                    </w:tc>
                  </w:tr>
                  <w:tr>
                    <w:trPr>
                      <w:trHeight w:val="19" w:hRule="atLeast"/>
                    </w:trPr>
                    <w:tc>
                      <w:tcPr>
                        <w:tcW w:w="1417" w:type="dxa"/>
                        <w:tcBorders>
                          <w:left w:val="nil" w:sz="0"/>
                          <w:bottom w:val="nil" w:sz="0"/>
                        </w:tcBorders>
                      </w:tcPr>
                      <w:p>
                        <w:pPr>
                          <w:pStyle w:val="EmptyCellLayoutStyle"/>
                          <w:spacing w:after="0" w:line="240" w:lineRule="auto"/>
                        </w:pPr>
                      </w:p>
                    </w:tc>
                    <w:tc>
                      <w:tcPr>
                        <w:tcW w:w="32" w:type="dxa"/>
                        <w:tcBorders>
                          <w:bottom w:val="nil" w:sz="0"/>
                          <w:right w:val="nil" w:sz="0"/>
                        </w:tcBorders>
                      </w:tcPr>
                      <w:p>
                        <w:pPr>
                          <w:pStyle w:val="EmptyCellLayoutStyle"/>
                          <w:spacing w:after="0" w:line="240" w:lineRule="auto"/>
                        </w:pPr>
                      </w:p>
                    </w:tc>
                  </w:tr>
                </w:tbl>
                <w:p>
                  <w:pPr>
                    <w:spacing w:after="0" w:line="240" w:lineRule="auto"/>
                  </w:pPr>
                </w:p>
              </w:tc>
              <w:tc>
                <w:tcPr>
                  <w:tcW w:w="64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Times New Roman" w:hAnsi="Times New Roman" w:eastAsia="Times New Roman"/>
                      <w:color w:val="000000"/>
                      <w:sz w:val="16"/>
                    </w:rPr>
                    <w:t xml:space="preserve">4</w:t>
                  </w:r>
                </w:p>
              </w:tc>
            </w:tr>
          </w:tbl>
          <w:p>
            <w:pPr>
              <w:spacing w:after="0" w:line="240" w:lineRule="auto"/>
            </w:pPr>
          </w:p>
        </w:tc>
        <w:tc>
          <w:tcPr>
            <w:tcW w:w="2437" w:type="dxa"/>
            <w:hMerge w:val="continue"/>
          </w:tcPr>
          <w:p>
            <w:pPr>
              <w:pStyle w:val="EmptyCellLayoutStyle"/>
              <w:spacing w:after="0" w:line="240" w:lineRule="auto"/>
            </w:pPr>
          </w:p>
        </w:tc>
        <w:tc>
          <w:tcPr>
            <w:tcW w:w="5797" w:type="dxa"/>
            <w:hMerge w:val="continue"/>
          </w:tcPr>
          <w:p>
            <w:pPr>
              <w:pStyle w:val="EmptyCellLayoutStyle"/>
              <w:spacing w:after="0" w:line="240" w:lineRule="auto"/>
            </w:pPr>
          </w:p>
        </w:tc>
        <w:tc>
          <w:tcPr>
            <w:tcW w:w="3193" w:type="dxa"/>
            <w:hMerge w:val="continue"/>
          </w:tcPr>
          <w:p>
            <w:pPr>
              <w:pStyle w:val="EmptyCellLayoutStyle"/>
              <w:spacing w:after="0" w:line="240" w:lineRule="auto"/>
            </w:pPr>
          </w:p>
        </w:tc>
        <w:tc>
          <w:tcPr>
            <w:tcW w:w="178" w:type="dxa"/>
            <w:hMerge w:val="continue"/>
          </w:tcPr>
          <w:p>
            <w:pPr>
              <w:pStyle w:val="EmptyCellLayoutStyle"/>
              <w:spacing w:after="0" w:line="240" w:lineRule="auto"/>
            </w:pPr>
          </w:p>
        </w:tc>
        <w:tc>
          <w:tcPr>
            <w:tcW w:w="195" w:type="dxa"/>
          </w:tcPr>
          <w:p>
            <w:pPr>
              <w:pStyle w:val="EmptyCellLayoutStyle"/>
              <w:spacing w:after="0" w:line="240" w:lineRule="auto"/>
            </w:pPr>
          </w:p>
        </w:tc>
      </w:tr>
      <w:tr>
        <w:trPr>
          <w:trHeight w:val="159" w:hRule="atLeast"/>
        </w:trPr>
        <w:tc>
          <w:tcPr>
            <w:tcW w:w="1417" w:type="dxa"/>
          </w:tcPr>
          <w:p>
            <w:pPr>
              <w:pStyle w:val="EmptyCellLayoutStyle"/>
              <w:spacing w:after="0" w:line="240" w:lineRule="auto"/>
            </w:pPr>
          </w:p>
        </w:tc>
        <w:tc>
          <w:tcPr>
            <w:tcW w:w="2437" w:type="dxa"/>
          </w:tcPr>
          <w:p>
            <w:pPr>
              <w:pStyle w:val="EmptyCellLayoutStyle"/>
              <w:spacing w:after="0" w:line="240" w:lineRule="auto"/>
            </w:pPr>
          </w:p>
        </w:tc>
        <w:tc>
          <w:tcPr>
            <w:tcW w:w="5797" w:type="dxa"/>
          </w:tcPr>
          <w:p>
            <w:pPr>
              <w:pStyle w:val="EmptyCellLayoutStyle"/>
              <w:spacing w:after="0" w:line="240" w:lineRule="auto"/>
            </w:pPr>
          </w:p>
        </w:tc>
        <w:tc>
          <w:tcPr>
            <w:tcW w:w="3193" w:type="dxa"/>
          </w:tcPr>
          <w:p>
            <w:pPr>
              <w:pStyle w:val="EmptyCellLayoutStyle"/>
              <w:spacing w:after="0" w:line="240" w:lineRule="auto"/>
            </w:pPr>
          </w:p>
        </w:tc>
        <w:tc>
          <w:tcPr>
            <w:tcW w:w="178" w:type="dxa"/>
          </w:tcPr>
          <w:p>
            <w:pPr>
              <w:pStyle w:val="EmptyCellLayoutStyle"/>
              <w:spacing w:after="0" w:line="240" w:lineRule="auto"/>
            </w:pPr>
          </w:p>
        </w:tc>
        <w:tc>
          <w:tcPr>
            <w:tcW w:w="195" w:type="dxa"/>
          </w:tcPr>
          <w:p>
            <w:pPr>
              <w:pStyle w:val="EmptyCellLayoutStyle"/>
              <w:spacing w:after="0" w:line="240" w:lineRule="auto"/>
            </w:pPr>
          </w:p>
        </w:tc>
      </w:tr>
      <w:tr>
        <w:trPr>
          <w:trHeight w:val="340" w:hRule="atLeast"/>
        </w:trPr>
        <w:tc>
          <w:tcPr>
            <w:tcW w:w="1417" w:type="dxa"/>
          </w:tcPr>
          <w:tbl>
            <w:tblPr>
              <w:tblCellMar>
                <w:top w:w="0" w:type="dxa"/>
                <w:left w:w="0" w:type="dxa"/>
                <w:bottom w:w="0" w:type="dxa"/>
                <w:right w:w="0" w:type="dxa"/>
              </w:tblCellMar>
            </w:tblPr>
            <w:tblGrid>
              <w:gridCol w:w="1417"/>
            </w:tblGrid>
            <w:tr>
              <w:trPr>
                <w:trHeight w:val="262" w:hRule="atLeast"/>
              </w:trPr>
              <w:tc>
                <w:tcPr>
                  <w:tcW w:w="14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16"/>
                    </w:rPr>
                    <w:t xml:space="preserve">Notas:</w:t>
                  </w:r>
                </w:p>
              </w:tc>
            </w:tr>
          </w:tbl>
          <w:p>
            <w:pPr>
              <w:spacing w:after="0" w:line="240" w:lineRule="auto"/>
            </w:pPr>
          </w:p>
        </w:tc>
        <w:tc>
          <w:tcPr>
            <w:tcW w:w="2437" w:type="dxa"/>
          </w:tcPr>
          <w:p>
            <w:pPr>
              <w:pStyle w:val="EmptyCellLayoutStyle"/>
              <w:spacing w:after="0" w:line="240" w:lineRule="auto"/>
            </w:pPr>
          </w:p>
        </w:tc>
        <w:tc>
          <w:tcPr>
            <w:tcW w:w="5797" w:type="dxa"/>
          </w:tcPr>
          <w:p>
            <w:pPr>
              <w:pStyle w:val="EmptyCellLayoutStyle"/>
              <w:spacing w:after="0" w:line="240" w:lineRule="auto"/>
            </w:pPr>
          </w:p>
        </w:tc>
        <w:tc>
          <w:tcPr>
            <w:tcW w:w="3193" w:type="dxa"/>
          </w:tcPr>
          <w:p>
            <w:pPr>
              <w:pStyle w:val="EmptyCellLayoutStyle"/>
              <w:spacing w:after="0" w:line="240" w:lineRule="auto"/>
            </w:pPr>
          </w:p>
        </w:tc>
        <w:tc>
          <w:tcPr>
            <w:tcW w:w="178" w:type="dxa"/>
          </w:tcPr>
          <w:p>
            <w:pPr>
              <w:pStyle w:val="EmptyCellLayoutStyle"/>
              <w:spacing w:after="0" w:line="240" w:lineRule="auto"/>
            </w:pPr>
          </w:p>
        </w:tc>
        <w:tc>
          <w:tcPr>
            <w:tcW w:w="195" w:type="dxa"/>
          </w:tcPr>
          <w:p>
            <w:pPr>
              <w:pStyle w:val="EmptyCellLayoutStyle"/>
              <w:spacing w:after="0" w:line="240" w:lineRule="auto"/>
            </w:pPr>
          </w:p>
        </w:tc>
      </w:tr>
      <w:tr>
        <w:trPr/>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36"/>
              <w:gridCol w:w="12208"/>
            </w:tblGrid>
            <w:tr>
              <w:trPr>
                <w:trHeight w:val="202" w:hRule="atLeast"/>
              </w:trPr>
              <w:tc>
                <w:tcPr>
                  <w:tcW w:w="636" w:type="dxa"/>
                  <w:tcBorders>
                    <w:top w:val="nil" w:color="D3D3D3" w:sz="7"/>
                    <w:left w:val="nil" w:color="D3D3D3" w:sz="7"/>
                    <w:bottom w:val="nil" w:color="D3D3D3" w:sz="7"/>
                    <w:right w:val="nil" w:color="D3D3D3" w:sz="7"/>
                  </w:tcBorders>
                  <w:tcMar>
                    <w:top w:w="39" w:type="dxa"/>
                    <w:left w:w="39" w:type="dxa"/>
                    <w:bottom w:w="39" w:type="dxa"/>
                    <w:right w:w="39" w:type="dxa"/>
                  </w:tcMar>
                </w:tcPr>
                <w:p>
                  <w:pPr>
                    <w:spacing w:after="0" w:line="240" w:lineRule="auto"/>
                    <w:jc w:val="right"/>
                  </w:pPr>
                  <w:r>
                    <w:rPr>
                      <w:rFonts w:ascii="Times New Roman" w:hAnsi="Times New Roman" w:eastAsia="Times New Roman"/>
                      <w:color w:val="000000"/>
                      <w:sz w:val="16"/>
                    </w:rPr>
                    <w:t xml:space="preserve">1</w:t>
                  </w:r>
                </w:p>
              </w:tc>
              <w:tc>
                <w:tcPr>
                  <w:tcW w:w="12208" w:type="dxa"/>
                  <w:tcBorders>
                    <w:top w:val="nil" w:color="D3D3D3" w:sz="7"/>
                    <w:left w:val="nil" w:color="D3D3D3" w:sz="7"/>
                    <w:bottom w:val="nil" w:color="D3D3D3" w:sz="7"/>
                    <w:right w:val="nil" w:color="D3D3D3"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16"/>
                    </w:rPr>
                    <w:t xml:space="preserve">El Informe semanal de actividad legislativa, elaborado por la División de Relaciones Políticas e Institucionales,  sistematiza los resultados de la agenda legislativa de la Cámara de Diputados y Diputadas y del Senado, incluyendo el trabajo realizado tanto en las comisiones como en las respectivas salas, según las semanas legislativas establecidas por el Congreso Nacional, considerando el año calendario de enero a diciembre (52 o 53), restando las semanas distritales (11), el receso legislativo de febrero (4) y la semana del 18 de septiembre (1).</w:t>
                  </w:r>
                </w:p>
              </w:tc>
            </w:tr>
            <w:tr>
              <w:trPr>
                <w:trHeight w:val="202" w:hRule="atLeast"/>
              </w:trPr>
              <w:tc>
                <w:tcPr>
                  <w:tcW w:w="636" w:type="dxa"/>
                  <w:tcBorders>
                    <w:top w:val="nil" w:color="D3D3D3" w:sz="7"/>
                    <w:left w:val="nil" w:color="D3D3D3" w:sz="7"/>
                    <w:bottom w:val="nil" w:color="D3D3D3" w:sz="7"/>
                    <w:right w:val="nil" w:color="D3D3D3" w:sz="7"/>
                  </w:tcBorders>
                  <w:tcMar>
                    <w:top w:w="39" w:type="dxa"/>
                    <w:left w:w="39" w:type="dxa"/>
                    <w:bottom w:w="39" w:type="dxa"/>
                    <w:right w:w="39" w:type="dxa"/>
                  </w:tcMar>
                </w:tcPr>
                <w:p>
                  <w:pPr>
                    <w:spacing w:after="0" w:line="240" w:lineRule="auto"/>
                    <w:jc w:val="right"/>
                  </w:pPr>
                  <w:r>
                    <w:rPr>
                      <w:rFonts w:ascii="Times New Roman" w:hAnsi="Times New Roman" w:eastAsia="Times New Roman"/>
                      <w:color w:val="000000"/>
                      <w:sz w:val="16"/>
                    </w:rPr>
                    <w:t xml:space="preserve">2</w:t>
                  </w:r>
                </w:p>
              </w:tc>
              <w:tc>
                <w:tcPr>
                  <w:tcW w:w="12208" w:type="dxa"/>
                  <w:tcBorders>
                    <w:top w:val="nil" w:color="D3D3D3" w:sz="7"/>
                    <w:left w:val="nil" w:color="D3D3D3" w:sz="7"/>
                    <w:bottom w:val="nil" w:color="D3D3D3" w:sz="7"/>
                    <w:right w:val="nil" w:color="D3D3D3"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16"/>
                    </w:rPr>
                    <w:t xml:space="preserve">Las minutas se elaboran, por la División Jurídico-Legislativa, al momento del ingreso de un Mensaje del Ejecutivo a la sala de la Cámara de Diputados y Diputadas o el Senado y contienen el fundamento del proyecto de ley, un breve resumen de su contenido y una síntesis de los principales hitos en cada una de las etapas de tramitación, actualizándose cada vez que el proyecto de ley se encuentre en tabla en la Sala de la Cámara de Diputados y Diputadas o del Senado para ser discutido y votado. El número de minutas varía en función de los mensajes que se encuentren para estado de tabla de conformidad a la propuesta que efectúen las mesas de cada una de las ramas del Congreso Nacional.</w:t>
                  </w:r>
                </w:p>
              </w:tc>
            </w:tr>
            <w:tr>
              <w:trPr>
                <w:trHeight w:val="202" w:hRule="atLeast"/>
              </w:trPr>
              <w:tc>
                <w:tcPr>
                  <w:tcW w:w="636" w:type="dxa"/>
                  <w:tcBorders>
                    <w:top w:val="nil" w:color="D3D3D3" w:sz="7"/>
                    <w:left w:val="nil" w:color="D3D3D3" w:sz="7"/>
                    <w:bottom w:val="nil" w:color="D3D3D3" w:sz="7"/>
                    <w:right w:val="nil" w:color="D3D3D3" w:sz="7"/>
                  </w:tcBorders>
                  <w:tcMar>
                    <w:top w:w="39" w:type="dxa"/>
                    <w:left w:w="39" w:type="dxa"/>
                    <w:bottom w:w="39" w:type="dxa"/>
                    <w:right w:w="39" w:type="dxa"/>
                  </w:tcMar>
                </w:tcPr>
                <w:p>
                  <w:pPr>
                    <w:spacing w:after="0" w:line="240" w:lineRule="auto"/>
                    <w:jc w:val="right"/>
                  </w:pPr>
                  <w:r>
                    <w:rPr>
                      <w:rFonts w:ascii="Times New Roman" w:hAnsi="Times New Roman" w:eastAsia="Times New Roman"/>
                      <w:color w:val="000000"/>
                      <w:sz w:val="16"/>
                    </w:rPr>
                    <w:t xml:space="preserve">3</w:t>
                  </w:r>
                </w:p>
              </w:tc>
              <w:tc>
                <w:tcPr>
                  <w:tcW w:w="12208" w:type="dxa"/>
                  <w:tcBorders>
                    <w:top w:val="nil" w:color="D3D3D3" w:sz="7"/>
                    <w:left w:val="nil" w:color="D3D3D3" w:sz="7"/>
                    <w:bottom w:val="nil" w:color="D3D3D3" w:sz="7"/>
                    <w:right w:val="nil" w:color="D3D3D3"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16"/>
                    </w:rPr>
                    <w:t xml:space="preserve">Las jornadas o actividades con los encargados de transparencia de Subsecretarías son dirigidas por la Comisión Asesora Presidencial de Integridad y Transparencia y pueden ser realizadas de manera presencial o telemática. Al respecto precisar que, en el mes de marzo, posterior a la revisión y validación del Secretario/a Ejecutivo de la Comisión, se enviará la planificación a la Unidad de Control de Gestión.</w:t>
                  </w:r>
                </w:p>
              </w:tc>
            </w:tr>
            <w:tr>
              <w:trPr>
                <w:trHeight w:val="202" w:hRule="atLeast"/>
              </w:trPr>
              <w:tc>
                <w:tcPr>
                  <w:tcW w:w="636" w:type="dxa"/>
                  <w:tcBorders>
                    <w:top w:val="nil" w:color="D3D3D3" w:sz="7"/>
                    <w:left w:val="nil" w:color="D3D3D3" w:sz="7"/>
                    <w:bottom w:val="nil" w:color="D3D3D3" w:sz="7"/>
                    <w:right w:val="nil" w:color="D3D3D3" w:sz="7"/>
                  </w:tcBorders>
                  <w:tcMar>
                    <w:top w:w="39" w:type="dxa"/>
                    <w:left w:w="39" w:type="dxa"/>
                    <w:bottom w:w="39" w:type="dxa"/>
                    <w:right w:w="39" w:type="dxa"/>
                  </w:tcMar>
                </w:tcPr>
                <w:p>
                  <w:pPr>
                    <w:spacing w:after="0" w:line="240" w:lineRule="auto"/>
                    <w:jc w:val="right"/>
                  </w:pPr>
                  <w:r>
                    <w:rPr>
                      <w:rFonts w:ascii="Times New Roman" w:hAnsi="Times New Roman" w:eastAsia="Times New Roman"/>
                      <w:color w:val="000000"/>
                      <w:sz w:val="16"/>
                    </w:rPr>
                    <w:t xml:space="preserve">4</w:t>
                  </w:r>
                </w:p>
              </w:tc>
              <w:tc>
                <w:tcPr>
                  <w:tcW w:w="12208" w:type="dxa"/>
                  <w:tcBorders>
                    <w:top w:val="nil" w:color="D3D3D3" w:sz="7"/>
                    <w:left w:val="nil" w:color="D3D3D3" w:sz="7"/>
                    <w:bottom w:val="nil" w:color="D3D3D3" w:sz="7"/>
                    <w:right w:val="nil" w:color="D3D3D3" w:sz="7"/>
                  </w:tcBorders>
                  <w:tcMar>
                    <w:top w:w="39" w:type="dxa"/>
                    <w:left w:w="39" w:type="dxa"/>
                    <w:bottom w:w="39" w:type="dxa"/>
                    <w:right w:w="39" w:type="dxa"/>
                  </w:tcMar>
                </w:tcPr>
                <w:p>
                  <w:pPr>
                    <w:spacing w:after="0" w:line="240" w:lineRule="auto"/>
                    <w:jc w:val="left"/>
                  </w:pPr>
                  <w:r>
                    <w:rPr>
                      <w:rFonts w:ascii="Times New Roman" w:hAnsi="Times New Roman" w:eastAsia="Times New Roman"/>
                      <w:color w:val="000000"/>
                      <w:sz w:val="16"/>
                    </w:rPr>
                    <w:t xml:space="preserve">El informe consolidado es elaborado por el Consejo de Auditoría Interna General del Gobierno y se refiere al análisis y evaluación de los resultados obtenidos en la implementación de los objetivos gubernamentales para el periodo t.</w:t>
                  </w:r>
                </w:p>
              </w:tc>
            </w:tr>
          </w:tbl>
          <w:p>
            <w:pPr>
              <w:spacing w:after="0" w:line="240" w:lineRule="auto"/>
            </w:pPr>
          </w:p>
        </w:tc>
        <w:tc>
          <w:tcPr>
            <w:tcW w:w="2437" w:type="dxa"/>
            <w:hMerge w:val="continue"/>
          </w:tcPr>
          <w:p>
            <w:pPr>
              <w:pStyle w:val="EmptyCellLayoutStyle"/>
              <w:spacing w:after="0" w:line="240" w:lineRule="auto"/>
            </w:pPr>
          </w:p>
        </w:tc>
        <w:tc>
          <w:tcPr>
            <w:tcW w:w="5797" w:type="dxa"/>
            <w:hMerge w:val="continue"/>
          </w:tcPr>
          <w:p>
            <w:pPr>
              <w:pStyle w:val="EmptyCellLayoutStyle"/>
              <w:spacing w:after="0" w:line="240" w:lineRule="auto"/>
            </w:pPr>
          </w:p>
        </w:tc>
        <w:tc>
          <w:tcPr>
            <w:tcW w:w="3193" w:type="dxa"/>
            <w:hMerge w:val="continue"/>
          </w:tcPr>
          <w:p>
            <w:pPr>
              <w:pStyle w:val="EmptyCellLayoutStyle"/>
              <w:spacing w:after="0" w:line="240" w:lineRule="auto"/>
            </w:pPr>
          </w:p>
        </w:tc>
        <w:tc>
          <w:tcPr>
            <w:tcW w:w="178" w:type="dxa"/>
          </w:tcPr>
          <w:p>
            <w:pPr>
              <w:pStyle w:val="EmptyCellLayoutStyle"/>
              <w:spacing w:after="0" w:line="240" w:lineRule="auto"/>
            </w:pPr>
          </w:p>
        </w:tc>
        <w:tc>
          <w:tcPr>
            <w:tcW w:w="195" w:type="dxa"/>
          </w:tcPr>
          <w:p>
            <w:pPr>
              <w:pStyle w:val="EmptyCellLayoutStyle"/>
              <w:spacing w:after="0" w:line="240" w:lineRule="auto"/>
            </w:pPr>
          </w:p>
        </w:tc>
      </w:tr>
      <w:tr>
        <w:trPr>
          <w:trHeight w:val="919" w:hRule="atLeast"/>
        </w:trPr>
        <w:tc>
          <w:tcPr>
            <w:tcW w:w="1417" w:type="dxa"/>
          </w:tcPr>
          <w:p>
            <w:pPr>
              <w:pStyle w:val="EmptyCellLayoutStyle"/>
              <w:spacing w:after="0" w:line="240" w:lineRule="auto"/>
            </w:pPr>
          </w:p>
        </w:tc>
        <w:tc>
          <w:tcPr>
            <w:tcW w:w="2437" w:type="dxa"/>
          </w:tcPr>
          <w:p>
            <w:pPr>
              <w:pStyle w:val="EmptyCellLayoutStyle"/>
              <w:spacing w:after="0" w:line="240" w:lineRule="auto"/>
            </w:pPr>
          </w:p>
        </w:tc>
        <w:tc>
          <w:tcPr>
            <w:tcW w:w="5797" w:type="dxa"/>
          </w:tcPr>
          <w:p>
            <w:pPr>
              <w:pStyle w:val="EmptyCellLayoutStyle"/>
              <w:spacing w:after="0" w:line="240" w:lineRule="auto"/>
            </w:pPr>
          </w:p>
        </w:tc>
        <w:tc>
          <w:tcPr>
            <w:tcW w:w="3193" w:type="dxa"/>
          </w:tcPr>
          <w:p>
            <w:pPr>
              <w:pStyle w:val="EmptyCellLayoutStyle"/>
              <w:spacing w:after="0" w:line="240" w:lineRule="auto"/>
            </w:pPr>
          </w:p>
        </w:tc>
        <w:tc>
          <w:tcPr>
            <w:tcW w:w="178" w:type="dxa"/>
          </w:tcPr>
          <w:p>
            <w:pPr>
              <w:pStyle w:val="EmptyCellLayoutStyle"/>
              <w:spacing w:after="0" w:line="240" w:lineRule="auto"/>
            </w:pPr>
          </w:p>
        </w:tc>
        <w:tc>
          <w:tcPr>
            <w:tcW w:w="195" w:type="dxa"/>
          </w:tcPr>
          <w:p>
            <w:pPr>
              <w:pStyle w:val="EmptyCellLayoutStyle"/>
              <w:spacing w:after="0" w:line="240" w:lineRule="auto"/>
            </w:pPr>
          </w:p>
        </w:tc>
      </w:tr>
    </w:tbl>
    <w:p>
      <w:pPr>
        <w:spacing w:after="0" w:line="240" w:lineRule="auto"/>
      </w:pPr>
    </w:p>
    <w:sectPr w:rsidRPr="" w:rsidDel="" w:rsidR="" w:rsidSect="">
      <w:pgSz w:w="16837" w:h="11905" w:orient="landscape"/>
      <w:pgMar w:top="1133" w:right="1133" w:bottom="1133" w:left="1133" w:header="" w:footer="" w:gutter=""/>
    </w:sectPr>
  </w:body>
</w:document>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
    <w:nsid w:val="00000004"/>
    <w:multiLevelType w:val="multilevel"/>
    <w:tmpl w:val="0000000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
    <w:nsid w:val="00000005"/>
    <w:multiLevelType w:val="multilevel"/>
    <w:tmpl w:val="0000000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
    <w:nsid w:val="00000006"/>
    <w:multiLevelType w:val="multilevel"/>
    <w:tmpl w:val="0000000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
    <w:nsid w:val="00000007"/>
    <w:multiLevelType w:val="multilevel"/>
    <w:tmpl w:val="0000000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
    <w:nsid w:val="00000008"/>
    <w:multiLevelType w:val="multilevel"/>
    <w:tmpl w:val="0000000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
    <w:nsid w:val="00000009"/>
    <w:multiLevelType w:val="multilevel"/>
    <w:tmpl w:val="0000000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numbering" Target="/word/numbering.xml" Id="rId6"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FHRepIndSer</dc:title>
</cp:coreProperties>
</file>